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9596E" w:rsidTr="00C9596E">
        <w:tc>
          <w:tcPr>
            <w:tcW w:w="9571" w:type="dxa"/>
            <w:shd w:val="clear" w:color="auto" w:fill="auto"/>
          </w:tcPr>
          <w:p w:rsidR="00C9596E" w:rsidRPr="00C9596E" w:rsidRDefault="00C9596E" w:rsidP="006D7DB0">
            <w:pPr>
              <w:spacing w:before="100" w:beforeAutospacing="1" w:after="100" w:afterAutospacing="1"/>
              <w:rPr>
                <w:rStyle w:val="gmail-shorttext"/>
                <w:bCs/>
                <w:color w:val="0C0000"/>
                <w:u w:val="single"/>
              </w:rPr>
            </w:pPr>
          </w:p>
        </w:tc>
      </w:tr>
    </w:tbl>
    <w:p w:rsidR="006D7DB0" w:rsidRDefault="006D7DB0" w:rsidP="006D7DB0">
      <w:pPr>
        <w:spacing w:before="100" w:beforeAutospacing="1" w:after="100" w:afterAutospacing="1"/>
      </w:pPr>
      <w:proofErr w:type="spellStart"/>
      <w:r>
        <w:rPr>
          <w:rStyle w:val="gmail-shorttext"/>
          <w:b/>
          <w:bCs/>
          <w:u w:val="single"/>
        </w:rPr>
        <w:t>Дулоксетин</w:t>
      </w:r>
      <w:proofErr w:type="spellEnd"/>
      <w:r>
        <w:rPr>
          <w:rStyle w:val="gmail-shorttext"/>
          <w:b/>
          <w:bCs/>
          <w:u w:val="single"/>
        </w:rPr>
        <w:t xml:space="preserve">, </w:t>
      </w:r>
      <w:proofErr w:type="spellStart"/>
      <w:r>
        <w:rPr>
          <w:rStyle w:val="gmail-shorttext"/>
          <w:b/>
          <w:bCs/>
          <w:u w:val="single"/>
        </w:rPr>
        <w:t>венлафаксин</w:t>
      </w:r>
      <w:proofErr w:type="spellEnd"/>
      <w:r>
        <w:rPr>
          <w:rStyle w:val="gmail-shorttext"/>
          <w:b/>
          <w:bCs/>
          <w:u w:val="single"/>
        </w:rPr>
        <w:t xml:space="preserve"> и </w:t>
      </w:r>
      <w:proofErr w:type="spellStart"/>
      <w:r>
        <w:rPr>
          <w:rStyle w:val="gmail-shorttext"/>
          <w:b/>
          <w:bCs/>
          <w:u w:val="single"/>
        </w:rPr>
        <w:t>милнаципран</w:t>
      </w:r>
      <w:proofErr w:type="spellEnd"/>
    </w:p>
    <w:p w:rsidR="006D7DB0" w:rsidRDefault="006D7DB0" w:rsidP="006D7DB0">
      <w:pPr>
        <w:spacing w:before="100" w:beforeAutospacing="1" w:after="100" w:afterAutospacing="1"/>
      </w:pPr>
      <w:r>
        <w:rPr>
          <w:b/>
          <w:bCs/>
        </w:rPr>
        <w:t xml:space="preserve">Облегчен запрет на эксплуатацию опасных машин </w:t>
      </w:r>
    </w:p>
    <w:p w:rsidR="006D7DB0" w:rsidRDefault="006D7DB0" w:rsidP="006D7DB0">
      <w:pPr>
        <w:spacing w:before="100" w:beforeAutospacing="1" w:after="100" w:afterAutospacing="1"/>
      </w:pPr>
      <w:r>
        <w:t xml:space="preserve">Япония. Министерство здравоохранения, труда и социального обеспечения (MHLW) и Агентство фармацевтических и медицинских приборов (PMDA) объявили, что листки-вкладыши для </w:t>
      </w:r>
      <w:proofErr w:type="spellStart"/>
      <w:r>
        <w:t>дулоксетина</w:t>
      </w:r>
      <w:proofErr w:type="spellEnd"/>
      <w:r>
        <w:t xml:space="preserve"> (</w:t>
      </w:r>
      <w:proofErr w:type="spellStart"/>
      <w:r>
        <w:t>Cymbalta</w:t>
      </w:r>
      <w:proofErr w:type="spellEnd"/>
      <w:r>
        <w:t xml:space="preserve">®), </w:t>
      </w:r>
      <w:proofErr w:type="spellStart"/>
      <w:r>
        <w:t>венлафаксина</w:t>
      </w:r>
      <w:proofErr w:type="spellEnd"/>
      <w:r>
        <w:t xml:space="preserve"> (</w:t>
      </w:r>
      <w:proofErr w:type="spellStart"/>
      <w:r>
        <w:t>Effexor</w:t>
      </w:r>
      <w:proofErr w:type="spellEnd"/>
      <w:r>
        <w:t xml:space="preserve">®) и </w:t>
      </w:r>
      <w:proofErr w:type="spellStart"/>
      <w:r>
        <w:t>милнаципрана</w:t>
      </w:r>
      <w:proofErr w:type="spellEnd"/>
      <w:r>
        <w:t xml:space="preserve"> (</w:t>
      </w:r>
      <w:proofErr w:type="spellStart"/>
      <w:r>
        <w:t>Toledomin</w:t>
      </w:r>
      <w:proofErr w:type="spellEnd"/>
      <w:r>
        <w:t>®) были обновлены для облегчения запрета на эксплуатацию опасных машин, таких как вождение автомашины.</w:t>
      </w:r>
    </w:p>
    <w:p w:rsidR="006D7DB0" w:rsidRDefault="006D7DB0" w:rsidP="006D7DB0">
      <w:pPr>
        <w:spacing w:before="100" w:beforeAutospacing="1" w:after="100" w:afterAutospacing="1"/>
      </w:pPr>
      <w:proofErr w:type="spellStart"/>
      <w:r>
        <w:t>Дулоксетин</w:t>
      </w:r>
      <w:proofErr w:type="spellEnd"/>
      <w:r>
        <w:t xml:space="preserve">, </w:t>
      </w:r>
      <w:proofErr w:type="spellStart"/>
      <w:r>
        <w:t>венлафаксин</w:t>
      </w:r>
      <w:proofErr w:type="spellEnd"/>
      <w:r>
        <w:t xml:space="preserve"> и </w:t>
      </w:r>
      <w:proofErr w:type="spellStart"/>
      <w:r>
        <w:t>милнаципран</w:t>
      </w:r>
      <w:proofErr w:type="spellEnd"/>
      <w:r>
        <w:t xml:space="preserve"> - это ингибиторы обратного захвата серотонина и адреналина (SNRI), используемые для лечения депрессии / депрессивных состояний</w:t>
      </w:r>
    </w:p>
    <w:p w:rsidR="006D7DB0" w:rsidRDefault="006D7DB0" w:rsidP="006D7DB0">
      <w:pPr>
        <w:spacing w:before="100" w:beforeAutospacing="1" w:after="100" w:afterAutospacing="1"/>
      </w:pPr>
      <w:r>
        <w:t xml:space="preserve">MHLW / PMDA исследовали безопасность СИОЗСН (SNRI) при вождении или эксплуатации других опасных машин по запросу Японского общества </w:t>
      </w:r>
      <w:proofErr w:type="spellStart"/>
      <w:r>
        <w:t>нейропсихофармакологии</w:t>
      </w:r>
      <w:proofErr w:type="spellEnd"/>
      <w:r>
        <w:t xml:space="preserve"> и Японского общества нарушений настроения.</w:t>
      </w:r>
    </w:p>
    <w:p w:rsidR="006D7DB0" w:rsidRDefault="006D7DB0" w:rsidP="006D7DB0">
      <w:pPr>
        <w:spacing w:before="100" w:beforeAutospacing="1" w:after="100" w:afterAutospacing="1"/>
      </w:pPr>
      <w:r>
        <w:t xml:space="preserve">Данные клинических испытаний и литературы не предполагают, что </w:t>
      </w:r>
      <w:r w:rsidRPr="006D7DB0">
        <w:t>СИОЗСН (SNRI)</w:t>
      </w:r>
      <w:r>
        <w:t xml:space="preserve"> снижают эффективность вождения по сравнению с плацебо. Сравнение их профилей безопасности с селективными ингибиторами обратного захвата серотонина (СИОЗС) не показало большего количества накопленных сообщений о неблагоприятных реакциях с лекарственными средствами, которые могли бы повлиять на вождение и не выявили фармакологически существенных различий в сродстве к рецепторам, связанных с «головокружением», «</w:t>
      </w:r>
      <w:proofErr w:type="spellStart"/>
      <w:r>
        <w:t>седацией</w:t>
      </w:r>
      <w:proofErr w:type="spellEnd"/>
      <w:r>
        <w:t xml:space="preserve">» или «сонливостью». Поэтому PMDA считает, что согласование мер предосторожности для СИОЗСН, касающихся вождения или эксплуатации другого оборудования с мерами предосторожности для СИОЗС, расширит возможности лечения и обеспечит надлежащее лечение пациентов, а также предотвратит обострение симптомов и рецидивов. </w:t>
      </w:r>
      <w:r>
        <w:rPr>
          <w:rStyle w:val="gmail-alt-edited"/>
        </w:rPr>
        <w:t>Не смотря на отсутствие явных случаев с СИОЗСН</w:t>
      </w:r>
      <w:bookmarkStart w:id="0" w:name="_GoBack"/>
      <w:r>
        <w:rPr>
          <w:rStyle w:val="gmail-alt-edited"/>
        </w:rPr>
        <w:t xml:space="preserve">, </w:t>
      </w:r>
      <w:bookmarkEnd w:id="0"/>
      <w:r>
        <w:rPr>
          <w:rStyle w:val="gmail-alt-edited"/>
        </w:rPr>
        <w:t>были сообщения о событиях, связанных с нарушением сознания, которые могут влиять на вождение, без осознания самих пациентов, отмечающих признаки этого события на основе накопленных отчетов о неблагоприятных реакциях на лекарственные средства в Японии.</w:t>
      </w:r>
      <w:r>
        <w:t xml:space="preserve"> Соответственно, PMDA предложили, что во время пересмотра мер предосторожности для пациентов, получающих СИОЗСН, управляющих автомашиной или управляющих другими механизмами, назначающий врач и медицинские работники должны внимательно обследовать состояние пациента и предупредить пациента о необходимости принять все необходимые меры предосторожности во время вождения и чтобы пациент не управлял машиной, если он или она испытывает побочные реакции, такие как головокружение или сонливость.</w:t>
      </w:r>
    </w:p>
    <w:p w:rsidR="006D7DB0" w:rsidRDefault="006D7DB0" w:rsidP="006D7DB0">
      <w:pPr>
        <w:spacing w:before="100" w:beforeAutospacing="1" w:after="100" w:afterAutospacing="1"/>
      </w:pPr>
      <w:r>
        <w:t>Основываясь на вышесказанном, MHLW / PMDA пришли к выводу, что целесообразно пересмотреть меры предосторожности для приведения к описанию, аналогичные мерам предосторожности СИОЗС, а не единообразный запрет на эксплуатацию опасного оборудования, в том числе вождения при получении СИОЗСН</w:t>
      </w:r>
    </w:p>
    <w:p w:rsidR="006D7DB0" w:rsidRDefault="006D7DB0" w:rsidP="006D7DB0">
      <w:pPr>
        <w:spacing w:before="100" w:beforeAutospacing="1" w:after="100" w:afterAutospacing="1"/>
      </w:pPr>
    </w:p>
    <w:p w:rsidR="00C9596E" w:rsidRPr="0012395F" w:rsidRDefault="006D7DB0" w:rsidP="006D7DB0">
      <w:pPr>
        <w:spacing w:before="100" w:beforeAutospacing="1" w:after="100" w:afterAutospacing="1"/>
      </w:pPr>
      <w:r>
        <w:t>Справка:</w:t>
      </w:r>
      <w:r>
        <w:br/>
        <w:t>Пересмотр мер предосторожности,</w:t>
      </w:r>
      <w:r>
        <w:br/>
        <w:t>MHLW / PMDA, 25 ноября</w:t>
      </w:r>
      <w:r>
        <w:br/>
        <w:t>2016 (</w:t>
      </w:r>
      <w:hyperlink r:id="rId7" w:history="1">
        <w:r>
          <w:rPr>
            <w:rStyle w:val="a3"/>
          </w:rPr>
          <w:t>www.pmda.go.jp/english/</w:t>
        </w:r>
      </w:hyperlink>
      <w:r>
        <w:t>)</w:t>
      </w:r>
    </w:p>
    <w:sectPr w:rsidR="00C9596E" w:rsidRPr="0012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9D" w:rsidRDefault="0083339D" w:rsidP="00C9596E">
      <w:r>
        <w:separator/>
      </w:r>
    </w:p>
  </w:endnote>
  <w:endnote w:type="continuationSeparator" w:id="0">
    <w:p w:rsidR="0083339D" w:rsidRDefault="0083339D" w:rsidP="00C9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9D" w:rsidRDefault="0083339D" w:rsidP="00C9596E">
      <w:r>
        <w:separator/>
      </w:r>
    </w:p>
  </w:footnote>
  <w:footnote w:type="continuationSeparator" w:id="0">
    <w:p w:rsidR="0083339D" w:rsidRDefault="0083339D" w:rsidP="00C9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8E"/>
    <w:rsid w:val="0012395F"/>
    <w:rsid w:val="003D248E"/>
    <w:rsid w:val="00433EB2"/>
    <w:rsid w:val="006D7DB0"/>
    <w:rsid w:val="0083339D"/>
    <w:rsid w:val="00AF2FFB"/>
    <w:rsid w:val="00C9596E"/>
    <w:rsid w:val="00D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B0"/>
    <w:pPr>
      <w:ind w:lef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DB0"/>
    <w:rPr>
      <w:color w:val="0000FF"/>
      <w:u w:val="single"/>
    </w:rPr>
  </w:style>
  <w:style w:type="character" w:customStyle="1" w:styleId="gmail-shorttext">
    <w:name w:val="gmail-shorttext"/>
    <w:basedOn w:val="a0"/>
    <w:rsid w:val="006D7DB0"/>
  </w:style>
  <w:style w:type="character" w:customStyle="1" w:styleId="gmail-alt-edited">
    <w:name w:val="gmail-alt-edited"/>
    <w:basedOn w:val="a0"/>
    <w:rsid w:val="006D7DB0"/>
  </w:style>
  <w:style w:type="paragraph" w:styleId="a4">
    <w:name w:val="header"/>
    <w:basedOn w:val="a"/>
    <w:link w:val="a5"/>
    <w:uiPriority w:val="99"/>
    <w:unhideWhenUsed/>
    <w:rsid w:val="00C959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9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59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96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B0"/>
    <w:pPr>
      <w:ind w:lef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DB0"/>
    <w:rPr>
      <w:color w:val="0000FF"/>
      <w:u w:val="single"/>
    </w:rPr>
  </w:style>
  <w:style w:type="character" w:customStyle="1" w:styleId="gmail-shorttext">
    <w:name w:val="gmail-shorttext"/>
    <w:basedOn w:val="a0"/>
    <w:rsid w:val="006D7DB0"/>
  </w:style>
  <w:style w:type="character" w:customStyle="1" w:styleId="gmail-alt-edited">
    <w:name w:val="gmail-alt-edited"/>
    <w:basedOn w:val="a0"/>
    <w:rsid w:val="006D7DB0"/>
  </w:style>
  <w:style w:type="paragraph" w:styleId="a4">
    <w:name w:val="header"/>
    <w:basedOn w:val="a"/>
    <w:link w:val="a5"/>
    <w:uiPriority w:val="99"/>
    <w:unhideWhenUsed/>
    <w:rsid w:val="00C959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9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59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96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da.go.jp/eng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 Мадина Максуткызы</dc:creator>
  <cp:lastModifiedBy>Кеншимбай Дулат Буркитханович</cp:lastModifiedBy>
  <cp:revision>4</cp:revision>
  <dcterms:created xsi:type="dcterms:W3CDTF">2017-05-17T04:16:00Z</dcterms:created>
  <dcterms:modified xsi:type="dcterms:W3CDTF">2017-05-17T04:18:00Z</dcterms:modified>
</cp:coreProperties>
</file>